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drawing>
          <wp:inline distT="0" distB="0" distL="0" distR="0">
            <wp:extent cx="1238250" cy="333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2447F5"/>
          <w:sz w:val="18"/>
          <w:szCs w:val="18"/>
        </w:rPr>
        <w:t xml:space="preserve">MODÈLE · ÉDITION DU 24 OCTOBRE 2026</w:t>
      </w:r>
    </w:p>
    <w:p>
      <w:pPr>
        <w:pStyle w:val="Title"/>
      </w:pPr>
      <w:r>
        <w:t xml:space="preserve">Modèle de charte d'utilisation de l'IA</w:t>
      </w:r>
    </w:p>
    <w:p>
      <w:pPr>
        <w:spacing w:after="280"/>
      </w:pPr>
      <w:r>
        <w:rPr>
          <w:color w:val="4A5163"/>
        </w:rPr>
        <w:t xml:space="preserve">Cette page est pour vous, rédacteur de la charte. Supprimez-la avant de diffuser le document.</w:t>
      </w:r>
    </w:p>
    <w:p>
      <w:pPr>
        <w:pStyle w:val="Heading2"/>
      </w:pPr>
      <w:r>
        <w:t xml:space="preserve">Comment l'utiliser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Remplacez chaque passage </w:t>
      </w:r>
      <w:r>
        <w:rPr>
          <w:color w:val="2447F5"/>
          <w:shd w:fill="E8EDFE" w:color="auto" w:val="clear"/>
        </w:rPr>
        <w:t xml:space="preserve">[entre crochets]</w:t>
      </w:r>
      <w:r>
        <w:t xml:space="preserve"> par vos informations, puis supprimez ce qui ne vous concerne pas. Une règle que personne ne peut appliquer affaiblit les autres.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Donnez des exemples tirés de vos propres documents à l'article 3 : c'est ce qui rend la charte applicable.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Gardez la charte sur deux pages. La liste des outils vit en annexe pour être mise à jour sans tout réécrire.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Vérifiez les conditions de chaque outil avant de l'autoriser : les offres et leurs règles sur les données changent souvent.</w:t>
      </w:r>
    </w:p>
    <w:p>
      <w:pPr>
        <w:pStyle w:val="Heading2"/>
      </w:pPr>
      <w:r>
        <w:t xml:space="preserve">Choisir son statut (article 10)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Guide de bonnes pratiques. </w:t>
      </w:r>
      <w:r>
        <w:t xml:space="preserve">La charte conseille sans imposer ni sanctionner. Diffusez-la et expliquez-la ; aucune procédure particulière.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Annexe au règlement intérieur. </w:t>
      </w:r>
      <w:r>
        <w:t xml:space="preserve">Obligatoire dès 50 salariés si la charte impose des obligations générales et permanentes (articles L1321-1 et L1321-5 du Code du travail) : avis du CSE, information de chaque salarié, envoi à l'inspection du travail avec l'avis du CSE, entrée en vigueur au plus tôt un mois après (article L1321-4). Depuis le 28 mai 2026, le dépôt au greffe du conseil de prud'hommes n'est plus exigé.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Dans une entreprise d'au moins 50 salariés, le déploiement d'un nouvel outil d'IA doit aussi faire l'objet d'une information et d'une consultation du CSE (article L2312-8).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Faites relire l'article 10 par un avocat en droit social si vous comptez sanctionner un manquement, et dans tous les cas sous 50 salariés si la charte se veut contraignante.</w:t>
      </w:r>
    </w:p>
    <w:p>
      <w:pPr>
        <w:spacing w:after="120"/>
      </w:pPr>
    </w:p>
    <w:p>
      <w:pPr>
        <w:pBdr>
          <w:left w:val="single" w:color="2447F5" w:sz="18" w:space="8"/>
        </w:pBdr>
        <w:shd w:fill="F2F4F8" w:color="auto" w:val="clear"/>
        <w:spacing w:after="100"/>
        <w:ind w:left="180" w:right="180"/>
      </w:pPr>
      <w:r>
        <w:rPr>
          <w:color w:val="4A5163"/>
        </w:rPr>
        <w:t xml:space="preserve">Ce modèle accompagne le guide de Grapes « Rédiger la charte IA de votre entreprise » (édition du 24 octobre 2026). Il est une base de travail, pas un avis juridique.</w:t>
      </w:r>
    </w:p>
    <w:p>
      <w:r>
        <w:br w:type="page"/>
      </w:r>
    </w:p>
    <w:p>
      <w:pPr>
        <w:pStyle w:val="Title"/>
      </w:pPr>
      <w:r>
        <w:t xml:space="preserve">Charte d'utilisation de l'intelligence artificielle</w:t>
      </w:r>
    </w:p>
    <w:p>
      <w:pPr>
        <w:spacing w:after="280"/>
      </w:pPr>
      <w:r>
        <w:rPr>
          <w:color w:val="4A5163"/>
          <w:shd w:fill="E8EDFE" w:color="auto" w:val="clear"/>
        </w:rPr>
        <w:t xml:space="preserve">[Nom de l'entreprise]</w:t>
      </w:r>
      <w:r>
        <w:rPr>
          <w:color w:val="4A5163"/>
        </w:rPr>
        <w:t xml:space="preserve"> · version </w:t>
      </w:r>
      <w:r>
        <w:rPr>
          <w:color w:val="4A5163"/>
          <w:shd w:fill="E8EDFE" w:color="auto" w:val="clear"/>
        </w:rPr>
        <w:t xml:space="preserve">[1.0]</w:t>
      </w:r>
      <w:r>
        <w:rPr>
          <w:color w:val="4A5163"/>
        </w:rPr>
        <w:t xml:space="preserve"> · en vigueur le </w:t>
      </w:r>
      <w:r>
        <w:rPr>
          <w:color w:val="4A5163"/>
          <w:shd w:fill="E8EDFE" w:color="auto" w:val="clear"/>
        </w:rPr>
        <w:t xml:space="preserve">[date]</w:t>
      </w:r>
    </w:p>
    <w:p>
      <w:pPr>
        <w:pStyle w:val="Heading1"/>
      </w:pPr>
      <w:r>
        <w:t xml:space="preserve">Préambule</w:t>
      </w:r>
    </w:p>
    <w:p>
      <w:pPr>
        <w:spacing w:after="120"/>
      </w:pPr>
      <w:r>
        <w:t xml:space="preserve">L'intelligence artificielle peut nous faire gagner du temps sur une grande partie de notre travail. Cette charte a deux objectifs : permettre à chacun de s'en servir, et protéger les informations de l'entreprise, de nos clients et de nos salariés. Elle dit avec quels outils travailler, ce qui ne doit jamais y entrer, et à qui s'adresser en cas de doute.</w:t>
      </w:r>
    </w:p>
    <w:p>
      <w:pPr>
        <w:spacing w:after="120"/>
      </w:pPr>
      <w:r>
        <w:rPr>
          <w:b/>
          <w:bCs/>
        </w:rPr>
        <w:t xml:space="preserve">En cas de doute, demandez avant d'agir : </w:t>
      </w:r>
      <w:r>
        <w:rPr>
          <w:b/>
          <w:bCs/>
          <w:color w:val="2447F5"/>
          <w:shd w:fill="E8EDFE" w:color="auto" w:val="clear"/>
        </w:rPr>
        <w:t xml:space="preserve">[Prénom Nom, fonction, adresse e-mail]</w:t>
      </w:r>
      <w:r>
        <w:rPr>
          <w:b/>
          <w:bCs/>
        </w:rPr>
        <w:t xml:space="preserve">.</w:t>
      </w:r>
    </w:p>
    <w:p>
      <w:pPr>
        <w:pStyle w:val="Heading1"/>
      </w:pPr>
      <w:r>
        <w:t xml:space="preserve">Article 1. Champ d'application</w:t>
      </w:r>
    </w:p>
    <w:p>
      <w:pPr>
        <w:spacing w:after="120"/>
      </w:pPr>
      <w:r>
        <w:t xml:space="preserve">La charte s'applique à toute personne qui travaille pour </w:t>
      </w:r>
      <w:r>
        <w:rPr>
          <w:color w:val="2447F5"/>
          <w:shd w:fill="E8EDFE" w:color="auto" w:val="clear"/>
        </w:rPr>
        <w:t xml:space="preserve">[Nom de l'entreprise]</w:t>
      </w:r>
      <w:r>
        <w:t xml:space="preserve"> : salariés, stagiaires, alternants, intérimaires et </w:t>
      </w:r>
      <w:r>
        <w:rPr>
          <w:color w:val="2447F5"/>
          <w:shd w:fill="E8EDFE" w:color="auto" w:val="clear"/>
        </w:rPr>
        <w:t xml:space="preserve">[prestataires présents dans nos locaux ou nos outils]</w:t>
      </w:r>
      <w:r>
        <w:t xml:space="preserve">.</w:t>
      </w:r>
    </w:p>
    <w:p>
      <w:pPr>
        <w:spacing w:after="120"/>
      </w:pPr>
      <w:r>
        <w:t xml:space="preserve">Elle couvre tout usage professionnel d'un outil d'IA, sur tout appareil, y compris personnel : assistants conversationnels, fonctions d'IA intégrées à nos logiciels (messagerie, CRM, visioconférence, logiciel RH), outils de traduction, de transcription et de création d'images.</w:t>
      </w:r>
    </w:p>
    <w:p>
      <w:pPr>
        <w:pStyle w:val="Heading1"/>
      </w:pPr>
      <w:r>
        <w:t xml:space="preserve">Article 2. Outils autorisés</w:t>
      </w:r>
    </w:p>
    <w:p>
      <w:pPr>
        <w:spacing w:after="120"/>
      </w:pPr>
      <w:r>
        <w:t xml:space="preserve">Seuls les outils ci-dessous peuvent être utilisés pour le travail, avec le compte fourni par l'entreprise. La liste à jour figure en annexe 1.</w:t>
      </w:r>
    </w:p>
    <w:tbl>
      <w:tblPr>
        <w:tblW w:type="dxa" w:w="9026"/>
        <w:tblBorders>
          <w:top w:val="single" w:color="D5DAE3" w:sz="4"/>
          <w:left w:val="single" w:color="D5DAE3" w:sz="4"/>
          <w:bottom w:val="single" w:color="D5DAE3" w:sz="4"/>
          <w:right w:val="single" w:color="D5DAE3" w:sz="4"/>
          <w:insideH w:val="single" w:color="D5DAE3" w:sz="4"/>
          <w:insideV w:val="single" w:color="D5DAE3" w:sz="4"/>
        </w:tblBorders>
      </w:tblPr>
      <w:tblGrid>
        <w:gridCol w:w="2200"/>
        <w:gridCol w:w="2500"/>
        <w:gridCol w:w="1600"/>
        <w:gridCol w:w="2726"/>
      </w:tblGrid>
      <w:tr>
        <w:trPr>
          <w:tblHeader/>
        </w:trPr>
        <w:tc>
          <w:tcPr>
            <w:tcW w:type="dxa" w:w="22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Outil</w:t>
            </w:r>
          </w:p>
        </w:tc>
        <w:tc>
          <w:tcPr>
            <w:tcW w:type="dxa" w:w="25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Offre et compte</w:t>
            </w:r>
          </w:p>
        </w:tc>
        <w:tc>
          <w:tcPr>
            <w:tcW w:type="dxa" w:w="16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Pour qui</w:t>
            </w:r>
          </w:p>
        </w:tc>
        <w:tc>
          <w:tcPr>
            <w:tcW w:type="dxa" w:w="2726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Usages principaux</w:t>
            </w:r>
          </w:p>
        </w:tc>
      </w:tr>
      <w:tr>
        <w:trPr>
          <w:tblHeader w:val="false"/>
        </w:trPr>
        <w:tc>
          <w:tcPr>
            <w:tcW w:type="dxa" w:w="22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[Microsoft Copilot]</w:t>
            </w:r>
          </w:p>
        </w:tc>
        <w:tc>
          <w:tcPr>
            <w:tcW w:type="dxa" w:w="25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[Compte professionnel de l'entreprise]</w:t>
            </w:r>
          </w:p>
        </w:tc>
        <w:tc>
          <w:tcPr>
            <w:tcW w:type="dxa" w:w="16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[Tous]</w:t>
            </w:r>
          </w:p>
        </w:tc>
        <w:tc>
          <w:tcPr>
            <w:tcW w:type="dxa" w:w="27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[Rédaction, synthèse, recherche]</w:t>
            </w:r>
          </w:p>
        </w:tc>
      </w:tr>
      <w:tr>
        <w:trPr>
          <w:tblHeader w:val="false"/>
        </w:trPr>
        <w:tc>
          <w:tcPr>
            <w:tcW w:type="dxa" w:w="22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[Deuxième outil]</w:t>
            </w:r>
          </w:p>
        </w:tc>
        <w:tc>
          <w:tcPr>
            <w:tcW w:type="dxa" w:w="25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[Offre entreprise, compte nominatif]</w:t>
            </w:r>
          </w:p>
        </w:tc>
        <w:tc>
          <w:tcPr>
            <w:tcW w:type="dxa" w:w="16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[Équipe commerciale]</w:t>
            </w:r>
          </w:p>
        </w:tc>
        <w:tc>
          <w:tcPr>
            <w:tcW w:type="dxa" w:w="27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[Propositions, comptes rendus]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Comptes personnels exclus. </w:t>
      </w:r>
      <w:r>
        <w:t xml:space="preserve">Un compte personnel, même payant, ne doit pas servir au travail : ses conversations peuvent être utilisées par l'éditeur pour entraîner ses modèles.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Fonctions d'IA de nos logiciels. </w:t>
      </w:r>
      <w:r>
        <w:t xml:space="preserve">Elles ne s'utilisent qu'après validation par le référent (article 9).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Évaluations. </w:t>
      </w:r>
      <w:r>
        <w:t xml:space="preserve">Ne cliquez pas sur « pouce levé » ou « pouce baissé » dans une conversation qui contient des données orange : cela peut transmettre la conversation à l'éditeur.</w:t>
      </w:r>
    </w:p>
    <w:p>
      <w:pPr>
        <w:pStyle w:val="Heading1"/>
      </w:pPr>
      <w:r>
        <w:t xml:space="preserve">Article 3. Données</w:t>
      </w:r>
    </w:p>
    <w:p>
      <w:pPr>
        <w:spacing w:after="120"/>
      </w:pPr>
      <w:r>
        <w:t xml:space="preserve">Chaque information est classée dans l'une des trois couleurs suivantes. En cas de doute, considérez qu'elle est rouge.</w:t>
      </w:r>
    </w:p>
    <w:tbl>
      <w:tblPr>
        <w:tblW w:type="dxa" w:w="9026"/>
        <w:tblBorders>
          <w:top w:val="single" w:color="D5DAE3" w:sz="4"/>
          <w:left w:val="single" w:color="D5DAE3" w:sz="4"/>
          <w:bottom w:val="single" w:color="D5DAE3" w:sz="4"/>
          <w:right w:val="single" w:color="D5DAE3" w:sz="4"/>
          <w:insideH w:val="single" w:color="D5DAE3" w:sz="4"/>
          <w:insideV w:val="single" w:color="D5DAE3" w:sz="4"/>
        </w:tblBorders>
      </w:tblPr>
      <w:tblGrid>
        <w:gridCol w:w="1300"/>
        <w:gridCol w:w="2700"/>
        <w:gridCol w:w="2700"/>
        <w:gridCol w:w="2326"/>
      </w:tblGrid>
      <w:tr>
        <w:trPr>
          <w:tblHeader/>
        </w:trPr>
        <w:tc>
          <w:tcPr>
            <w:tcW w:type="dxa" w:w="13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Couleur</w:t>
            </w:r>
          </w:p>
        </w:tc>
        <w:tc>
          <w:tcPr>
            <w:tcW w:type="dxa" w:w="2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Ce que c'est</w:t>
            </w:r>
          </w:p>
        </w:tc>
        <w:tc>
          <w:tcPr>
            <w:tcW w:type="dxa" w:w="2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Exemples chez nous</w:t>
            </w:r>
          </w:p>
        </w:tc>
        <w:tc>
          <w:tcPr>
            <w:tcW w:type="dxa" w:w="2326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Règle</w:t>
            </w:r>
          </w:p>
        </w:tc>
      </w:tr>
      <w:tr>
        <w:trPr>
          <w:tblHeader w:val="false"/>
        </w:trPr>
        <w:tc>
          <w:tcPr>
            <w:tcW w:type="dxa" w:w="1300"/>
            <w:shd w:fill="E3F4EC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Vert</w:t>
            </w:r>
          </w:p>
        </w:tc>
        <w:tc>
          <w:tcPr>
            <w:tcW w:type="dxa" w:w="2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Informations publiques ou sans enjeu</w:t>
            </w:r>
          </w:p>
        </w:tc>
        <w:tc>
          <w:tcPr>
            <w:tcW w:type="dxa" w:w="2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[Notre site, nos plaquettes, un texte de loi, un e-mail sans nom]</w:t>
            </w:r>
          </w:p>
        </w:tc>
        <w:tc>
          <w:tcPr>
            <w:tcW w:type="dxa" w:w="23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Dans tous les outils autorisés</w:t>
            </w:r>
          </w:p>
        </w:tc>
      </w:tr>
      <w:tr>
        <w:trPr>
          <w:tblHeader w:val="false"/>
        </w:trPr>
        <w:tc>
          <w:tcPr>
            <w:tcW w:type="dxa" w:w="1300"/>
            <w:shd w:fill="FCF1D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Orange</w:t>
            </w:r>
          </w:p>
        </w:tc>
        <w:tc>
          <w:tcPr>
            <w:tcW w:type="dxa" w:w="2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Informations internes, données personnelles courantes</w:t>
            </w:r>
          </w:p>
        </w:tc>
        <w:tc>
          <w:tcPr>
            <w:tcW w:type="dxa" w:w="2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[Un devis, un compte rendu de réunion, un échange avec un client nommé]</w:t>
            </w:r>
          </w:p>
        </w:tc>
        <w:tc>
          <w:tcPr>
            <w:tcW w:type="dxa" w:w="23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Seulement dans </w:t>
            </w:r>
            <w:r>
              <w:rPr>
                <w:color w:val="2447F5"/>
                <w:shd w:fill="E8EDFE" w:color="auto" w:val="clear"/>
              </w:rPr>
              <w:t xml:space="preserve">[l'outil professionnel validé]</w:t>
            </w:r>
            <w:r>
              <w:t xml:space="preserve">, ou après avoir retiré noms et chiffres</w:t>
            </w:r>
          </w:p>
        </w:tc>
      </w:tr>
      <w:tr>
        <w:trPr>
          <w:tblHeader w:val="false"/>
        </w:trPr>
        <w:tc>
          <w:tcPr>
            <w:tcW w:type="dxa" w:w="1300"/>
            <w:shd w:fill="FBE4E1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Rouge</w:t>
            </w:r>
          </w:p>
        </w:tc>
        <w:tc>
          <w:tcPr>
            <w:tcW w:type="dxa" w:w="2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Informations dont la fuite nous nuirait gravement</w:t>
            </w:r>
          </w:p>
        </w:tc>
        <w:tc>
          <w:tcPr>
            <w:tcW w:type="dxa" w:w="2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[Mots de passe, données de santé, dossiers RH et salaires, prix d'achat et marges, plans et secrets de fabrication, projets stratégiques, documents couverts par un accord de confidentialité]</w:t>
            </w:r>
          </w:p>
        </w:tc>
        <w:tc>
          <w:tcPr>
            <w:tcW w:type="dxa" w:w="23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Jamais, dans aucun outil d'IA, sauf solution validée par écrit par la direction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Article 4. Usages</w:t>
      </w:r>
    </w:p>
    <w:p>
      <w:pPr>
        <w:spacing w:after="120"/>
      </w:pPr>
      <w:r>
        <w:rPr>
          <w:b/>
          <w:bCs/>
        </w:rPr>
        <w:t xml:space="preserve">Autorisés, </w:t>
      </w:r>
      <w:r>
        <w:t xml:space="preserve">avec les outils de l'article 2 et dans le respect de l'article 3 : rédiger, reformuler, résumer, traduire, chercher des idées, préparer un plan, analyser un document, </w:t>
      </w:r>
      <w:r>
        <w:rPr>
          <w:color w:val="2447F5"/>
          <w:shd w:fill="E8EDFE" w:color="auto" w:val="clear"/>
        </w:rPr>
        <w:t xml:space="preserve">[écrire ou relire du code]</w:t>
      </w:r>
      <w:r>
        <w:t xml:space="preserve">.</w:t>
      </w:r>
    </w:p>
    <w:p>
      <w:pPr>
        <w:spacing w:after="60"/>
      </w:pPr>
      <w:r>
        <w:rPr>
          <w:b/>
          <w:bCs/>
        </w:rPr>
        <w:t xml:space="preserve">À faire valider par le référent avant de commencer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tout usage en contact direct avec des clients, comme un agent conversationnel ou un envoi automatique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tout usage dans le recrutement, l'évaluation ou la gestion des salariés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toute connexion d'un outil d'IA à notre messagerie, nos fichiers partagés ou </w:t>
      </w:r>
      <w:r>
        <w:rPr>
          <w:color w:val="2447F5"/>
          <w:shd w:fill="E8EDFE" w:color="auto" w:val="clear"/>
        </w:rPr>
        <w:t xml:space="preserve">[notre CRM]</w:t>
      </w:r>
      <w:r>
        <w:t xml:space="preserve">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tout nouvel outil (demande en annexe 2).</w:t>
      </w:r>
    </w:p>
    <w:p>
      <w:pPr>
        <w:spacing w:before="120" w:after="60"/>
      </w:pPr>
      <w:r>
        <w:rPr>
          <w:b/>
          <w:bCs/>
        </w:rPr>
        <w:t xml:space="preserve">Interdits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laisser l'IA prendre seule une décision qui concerne une personne : recrutement, évaluation, sanction, refus d'un client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mesurer les émotions, le stress ou l'humeur de salariés ou de candidats, pratique interdite par le règlement européen sur l'IA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imiter la voix, le visage ou l'écriture d'une personne réelle sans son accord écrit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contourner les outils autorisés, par exemple en copiant un document vers un compte personnel.</w:t>
      </w:r>
    </w:p>
    <w:p>
      <w:pPr>
        <w:pStyle w:val="Heading1"/>
      </w:pPr>
      <w:r>
        <w:t xml:space="preserve">Article 5. Relecture et responsabilité</w:t>
      </w:r>
    </w:p>
    <w:p>
      <w:pPr>
        <w:spacing w:after="120"/>
      </w:pPr>
      <w:r>
        <w:t xml:space="preserve">L'IA prépare, une personne valide. Celui qui envoie, publie ou décide est responsable du contenu, quelle que soit la part produite par l'IA.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Vérifiez les chiffres, les dates, les noms, les références juridiques et tout engagement de prix ou de délai : l'IA peut inventer avec aplomb.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Aucun envoi ni aucune publication automatique vers l'extérieur sans validation du référent.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447F5"/>
          <w:shd w:fill="E8EDFE" w:color="auto" w:val="clear"/>
        </w:rPr>
        <w:t xml:space="preserve">[Le code produit avec l'IA est relu avant d'être exécuté ou mis en production.]</w:t>
      </w:r>
    </w:p>
    <w:p>
      <w:pPr>
        <w:pStyle w:val="Heading1"/>
      </w:pPr>
      <w:r>
        <w:t xml:space="preserve">Article 6. Transparence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Mention obligatoire </w:t>
      </w:r>
      <w:r>
        <w:t xml:space="preserve">pour toute image, vidéo ou voix réaliste générée ou retouchée par IA et diffusée à l'extérieur, par exemple « Image générée par IA 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Agents conversationnels : </w:t>
      </w:r>
      <w:r>
        <w:t xml:space="preserve">ils se présentent comme une IA dès le premier message.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Livrables clients : </w:t>
      </w:r>
      <w:r>
        <w:t xml:space="preserve">la mention suit ce que prévoit le contrat ; </w:t>
      </w:r>
      <w:r>
        <w:rPr>
          <w:color w:val="2447F5"/>
          <w:shd w:fill="E8EDFE" w:color="auto" w:val="clear"/>
        </w:rPr>
        <w:t xml:space="preserve">[le chef de projet]</w:t>
      </w:r>
      <w:r>
        <w:t xml:space="preserve"> le vérifie.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Salariés : </w:t>
      </w:r>
      <w:r>
        <w:t xml:space="preserve">ils sont informés avant la mise en place de tout outil qui collecte des informations les concernant.</w:t>
      </w:r>
    </w:p>
    <w:p>
      <w:pPr>
        <w:spacing w:after="120"/>
      </w:pPr>
      <w:r>
        <w:t xml:space="preserve">Un contenu interne relu par son auteur n'a pas besoin de mention.</w:t>
      </w:r>
    </w:p>
    <w:p>
      <w:pPr>
        <w:pStyle w:val="Heading1"/>
      </w:pPr>
      <w:r>
        <w:t xml:space="preserve">Article 7. Propriété intellectuelle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contenu produit par l'IA sans réel apport créatif humain peut ne pas être protégé par le droit d'auteur : retravaillez ce que l'entreprise veut protéger.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Avant de publier, vérifiez qu'un texte, une image ou un logo ne reproduit pas une œuvre ou une marque existante.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 soumettez pas à l'IA un document d'un client ou d'un partenaire si le contrat l'interdit.</w:t>
      </w:r>
    </w:p>
    <w:p>
      <w:pPr>
        <w:pStyle w:val="Heading1"/>
      </w:pPr>
      <w:r>
        <w:t xml:space="preserve">Article 8. Sécurité et incidents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 saisissez jamais un identifiant, un mot de passe ou une clé d'accès dans un outil d'IA.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N'installez aucune extension de navigateur ni application d'IA sans validation du référent.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Les droits d'accès des assistants connectés à nos outils sont revus </w:t>
      </w:r>
      <w:r>
        <w:rPr>
          <w:color w:val="2447F5"/>
          <w:shd w:fill="E8EDFE" w:color="auto" w:val="clear"/>
        </w:rPr>
        <w:t xml:space="preserve">[chaque trimestre]</w:t>
      </w:r>
      <w:r>
        <w:t xml:space="preserve"> par </w:t>
      </w:r>
      <w:r>
        <w:rPr>
          <w:color w:val="2447F5"/>
          <w:shd w:fill="E8EDFE" w:color="auto" w:val="clear"/>
        </w:rPr>
        <w:t xml:space="preserve">[la personne chargée de l'informatique]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Incident </w:t>
      </w:r>
      <w:r>
        <w:t xml:space="preserve">(donnée rouge saisie par erreur, réponse anormale, outil qui agit sans qu'on le lui demande) : prévenez le référent </w:t>
      </w:r>
      <w:r>
        <w:rPr>
          <w:color w:val="2447F5"/>
          <w:shd w:fill="E8EDFE" w:color="auto" w:val="clear"/>
        </w:rPr>
        <w:t xml:space="preserve">[dans la journée]</w:t>
      </w:r>
      <w:r>
        <w:t xml:space="preserve">. Un signalement rapide n'est jamais reproché.</w:t>
      </w:r>
    </w:p>
    <w:p>
      <w:pPr>
        <w:pStyle w:val="Heading1"/>
      </w:pPr>
      <w:r>
        <w:t xml:space="preserve">Article 9. Référent, formation, nouveaux usages</w:t>
      </w:r>
    </w:p>
    <w:p>
      <w:pPr>
        <w:spacing w:after="120"/>
      </w:pPr>
      <w:r>
        <w:rPr>
          <w:b/>
          <w:bCs/>
        </w:rPr>
        <w:t xml:space="preserve">Référent IA : </w:t>
      </w:r>
      <w:r>
        <w:rPr>
          <w:color w:val="2447F5"/>
          <w:shd w:fill="E8EDFE" w:color="auto" w:val="clear"/>
        </w:rPr>
        <w:t xml:space="preserve">[Prénom Nom, fonction, adresse e-mail]</w:t>
      </w:r>
      <w:r>
        <w:t xml:space="preserve">. Il répond aux questions sous </w:t>
      </w:r>
      <w:r>
        <w:rPr>
          <w:color w:val="2447F5"/>
          <w:shd w:fill="E8EDFE" w:color="auto" w:val="clear"/>
        </w:rPr>
        <w:t xml:space="preserve">[deux jours ouvrés]</w:t>
      </w:r>
      <w:r>
        <w:t xml:space="preserve">, valide les nouveaux usages et outils, tient à jour l'annexe 1 et recueille les incidents.</w:t>
      </w:r>
    </w:p>
    <w:p>
      <w:pPr>
        <w:spacing w:after="120"/>
      </w:pPr>
      <w:r>
        <w:rPr>
          <w:b/>
          <w:bCs/>
        </w:rPr>
        <w:t xml:space="preserve">Formation : </w:t>
      </w:r>
      <w:r>
        <w:t xml:space="preserve">chaque personne concernée reçoit une présentation de cette charte et une formation à ses usages </w:t>
      </w:r>
      <w:r>
        <w:rPr>
          <w:color w:val="2447F5"/>
          <w:shd w:fill="E8EDFE" w:color="auto" w:val="clear"/>
        </w:rPr>
        <w:t xml:space="preserve">[dans le mois qui suit son arrivée]</w:t>
      </w:r>
      <w:r>
        <w:t xml:space="preserve">. L'entreprise garde une trace de ces formations : date, public, contenu.</w:t>
      </w:r>
    </w:p>
    <w:p>
      <w:pPr>
        <w:spacing w:after="120"/>
      </w:pPr>
      <w:r>
        <w:rPr>
          <w:b/>
          <w:bCs/>
        </w:rPr>
        <w:t xml:space="preserve">Bonnes pratiques : </w:t>
      </w:r>
      <w:r>
        <w:t xml:space="preserve">les usages qui marchent sont partagés dans </w:t>
      </w:r>
      <w:r>
        <w:rPr>
          <w:color w:val="2447F5"/>
          <w:shd w:fill="E8EDFE" w:color="auto" w:val="clear"/>
        </w:rPr>
        <w:t xml:space="preserve">[canal ou réunion]</w:t>
      </w:r>
      <w:r>
        <w:t xml:space="preserve">.</w:t>
      </w:r>
    </w:p>
    <w:p>
      <w:pPr>
        <w:pStyle w:val="Heading1"/>
      </w:pPr>
      <w:r>
        <w:t xml:space="preserve">Article 10. Entrée en vigueur et révision</w:t>
      </w:r>
    </w:p>
    <w:p>
      <w:pPr>
        <w:pBdr>
          <w:left w:val="single" w:color="2447F5" w:sz="18" w:space="8"/>
        </w:pBdr>
        <w:shd w:fill="F2F4F8" w:color="auto" w:val="clear"/>
        <w:spacing w:after="100"/>
        <w:ind w:left="180" w:right="180"/>
      </w:pPr>
      <w:r>
        <w:rPr>
          <w:i/>
          <w:iCs/>
          <w:color w:val="4A5163"/>
        </w:rPr>
        <w:t xml:space="preserve">Gardez une seule des deux options, puis supprimez cet encadré.</w:t>
      </w:r>
    </w:p>
    <w:p>
      <w:pPr>
        <w:spacing w:after="120"/>
      </w:pPr>
      <w:r>
        <w:rPr>
          <w:b/>
          <w:bCs/>
        </w:rPr>
        <w:t xml:space="preserve">Option A, guide de bonnes pratiques. </w:t>
      </w:r>
      <w:r>
        <w:t xml:space="preserve">Cette charte est un guide de bonnes pratiques. Elle entre en vigueur le </w:t>
      </w:r>
      <w:r>
        <w:rPr>
          <w:color w:val="2447F5"/>
          <w:shd w:fill="E8EDFE" w:color="auto" w:val="clear"/>
        </w:rPr>
        <w:t xml:space="preserve">[date]</w:t>
      </w:r>
      <w:r>
        <w:t xml:space="preserve"> et a été présentée à chaque équipe le </w:t>
      </w:r>
      <w:r>
        <w:rPr>
          <w:color w:val="2447F5"/>
          <w:shd w:fill="E8EDFE" w:color="auto" w:val="clear"/>
        </w:rPr>
        <w:t xml:space="preserve">[date]</w:t>
      </w:r>
      <w:r>
        <w:t xml:space="preserve">.</w:t>
      </w:r>
    </w:p>
    <w:p>
      <w:pPr>
        <w:spacing w:after="120"/>
      </w:pPr>
      <w:r>
        <w:rPr>
          <w:b/>
          <w:bCs/>
        </w:rPr>
        <w:t xml:space="preserve">Option B, annexe au règlement intérieur. </w:t>
      </w:r>
      <w:r>
        <w:t xml:space="preserve">Cette charte est annexée au règlement intérieur. Elle a été soumise à l'avis du comité social et économique le </w:t>
      </w:r>
      <w:r>
        <w:rPr>
          <w:color w:val="2447F5"/>
          <w:shd w:fill="E8EDFE" w:color="auto" w:val="clear"/>
        </w:rPr>
        <w:t xml:space="preserve">[date]</w:t>
      </w:r>
      <w:r>
        <w:t xml:space="preserve">, portée à la connaissance des salariés le </w:t>
      </w:r>
      <w:r>
        <w:rPr>
          <w:color w:val="2447F5"/>
          <w:shd w:fill="E8EDFE" w:color="auto" w:val="clear"/>
        </w:rPr>
        <w:t xml:space="preserve">[date]</w:t>
      </w:r>
      <w:r>
        <w:t xml:space="preserve"> et adressée à l'inspection du travail le </w:t>
      </w:r>
      <w:r>
        <w:rPr>
          <w:color w:val="2447F5"/>
          <w:shd w:fill="E8EDFE" w:color="auto" w:val="clear"/>
        </w:rPr>
        <w:t xml:space="preserve">[date]</w:t>
      </w:r>
      <w:r>
        <w:t xml:space="preserve">. Elle entre en vigueur le </w:t>
      </w:r>
      <w:r>
        <w:rPr>
          <w:color w:val="2447F5"/>
          <w:shd w:fill="E8EDFE" w:color="auto" w:val="clear"/>
        </w:rPr>
        <w:t xml:space="preserve">[date, au moins un mois après sa diffusion]</w:t>
      </w:r>
      <w:r>
        <w:t xml:space="preserve">. Son non-respect peut entraîner les sanctions prévues par le règlement intérieur, dans le respect de la procédure disciplinaire.</w:t>
      </w:r>
    </w:p>
    <w:p>
      <w:pPr>
        <w:spacing w:after="120"/>
      </w:pPr>
      <w:r>
        <w:t xml:space="preserve">La charte est relue au moins une fois par an et à chaque changement d'outil. Toute modification suit la même procédure que son adoption.</w:t>
      </w:r>
    </w:p>
    <w:p>
      <w:r>
        <w:br w:type="page"/>
      </w:r>
    </w:p>
    <w:p>
      <w:pPr>
        <w:pStyle w:val="Heading1"/>
      </w:pPr>
      <w:r>
        <w:t xml:space="preserve">Annexe 1. Registre des outils autorisés</w:t>
      </w:r>
    </w:p>
    <w:tbl>
      <w:tblPr>
        <w:tblW w:type="dxa" w:w="9026"/>
        <w:tblBorders>
          <w:top w:val="single" w:color="D5DAE3" w:sz="4"/>
          <w:left w:val="single" w:color="D5DAE3" w:sz="4"/>
          <w:bottom w:val="single" w:color="D5DAE3" w:sz="4"/>
          <w:right w:val="single" w:color="D5DAE3" w:sz="4"/>
          <w:insideH w:val="single" w:color="D5DAE3" w:sz="4"/>
          <w:insideV w:val="single" w:color="D5DAE3" w:sz="4"/>
        </w:tblBorders>
      </w:tblPr>
      <w:tblGrid>
        <w:gridCol w:w="1700"/>
        <w:gridCol w:w="1500"/>
        <w:gridCol w:w="1500"/>
        <w:gridCol w:w="1350"/>
        <w:gridCol w:w="1100"/>
        <w:gridCol w:w="900"/>
        <w:gridCol w:w="976"/>
      </w:tblGrid>
      <w:tr>
        <w:trPr>
          <w:tblHeader/>
        </w:trPr>
        <w:tc>
          <w:tcPr>
            <w:tcW w:type="dxa" w:w="1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Outil</w:t>
            </w:r>
          </w:p>
        </w:tc>
        <w:tc>
          <w:tcPr>
            <w:tcW w:type="dxa" w:w="15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Offre</w:t>
            </w:r>
          </w:p>
        </w:tc>
        <w:tc>
          <w:tcPr>
            <w:tcW w:type="dxa" w:w="15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Compte</w:t>
            </w:r>
          </w:p>
        </w:tc>
        <w:tc>
          <w:tcPr>
            <w:tcW w:type="dxa" w:w="135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Données jusqu'à</w:t>
            </w:r>
          </w:p>
        </w:tc>
        <w:tc>
          <w:tcPr>
            <w:tcW w:type="dxa" w:w="11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Validé le</w:t>
            </w:r>
          </w:p>
        </w:tc>
        <w:tc>
          <w:tcPr>
            <w:tcW w:type="dxa" w:w="9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Par</w:t>
            </w:r>
          </w:p>
        </w:tc>
        <w:tc>
          <w:tcPr>
            <w:tcW w:type="dxa" w:w="976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Revue</w:t>
            </w:r>
          </w:p>
        </w:tc>
      </w:tr>
      <w:tr>
        <w:trPr>
          <w:tblHeader w:val="false"/>
        </w:trPr>
        <w:tc>
          <w:tcPr>
            <w:tcW w:type="dxa" w:w="1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[Microsoft Copilot]</w:t>
            </w:r>
          </w:p>
        </w:tc>
        <w:tc>
          <w:tcPr>
            <w:tcW w:type="dxa" w:w="15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[Entreprise]</w:t>
            </w:r>
          </w:p>
        </w:tc>
        <w:tc>
          <w:tcPr>
            <w:tcW w:type="dxa" w:w="15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[Professionnel]</w:t>
            </w:r>
          </w:p>
        </w:tc>
        <w:tc>
          <w:tcPr>
            <w:tcW w:type="dxa" w:w="135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[Orange]</w:t>
            </w: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[date]</w:t>
            </w:r>
          </w:p>
        </w:tc>
        <w:tc>
          <w:tcPr>
            <w:tcW w:type="dxa" w:w="9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[nom]</w:t>
            </w:r>
          </w:p>
        </w:tc>
        <w:tc>
          <w:tcPr>
            <w:tcW w:type="dxa" w:w="97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color w:val="2447F5"/>
                <w:shd w:fill="E8EDFE" w:color="auto" w:val="clear"/>
              </w:rPr>
              <w:t xml:space="preserve">[date]</w:t>
            </w:r>
          </w:p>
        </w:tc>
      </w:tr>
      <w:tr>
        <w:trPr>
          <w:tblHeader w:val="false"/>
        </w:trPr>
        <w:tc>
          <w:tcPr>
            <w:tcW w:type="dxa" w:w="1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5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5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35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9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97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tblHeader w:val="false"/>
        </w:trPr>
        <w:tc>
          <w:tcPr>
            <w:tcW w:type="dxa" w:w="17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5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5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35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9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97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pStyle w:val="Heading1"/>
      </w:pPr>
      <w:r>
        <w:t xml:space="preserve">Annexe 2. Demande de nouvel usage ou de nouvel outil</w:t>
      </w:r>
    </w:p>
    <w:tbl>
      <w:tblPr>
        <w:tblW w:type="dxa" w:w="9026"/>
        <w:tblBorders>
          <w:top w:val="single" w:color="D5DAE3" w:sz="4"/>
          <w:left w:val="single" w:color="D5DAE3" w:sz="4"/>
          <w:bottom w:val="single" w:color="D5DAE3" w:sz="4"/>
          <w:right w:val="single" w:color="D5DAE3" w:sz="4"/>
          <w:insideH w:val="single" w:color="D5DAE3" w:sz="4"/>
          <w:insideV w:val="single" w:color="D5DAE3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Rubrique</w:t>
            </w:r>
          </w:p>
        </w:tc>
        <w:tc>
          <w:tcPr>
            <w:tcW w:type="dxa" w:w="5826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14161C"/>
              </w:rPr>
              <w:t xml:space="preserve">Réponse</w:t>
            </w:r>
          </w:p>
        </w:tc>
      </w:tr>
      <w:tr>
        <w:trPr>
          <w:tblHeader w:val="false"/>
        </w:trPr>
        <w:tc>
          <w:tcPr>
            <w:tcW w:type="dxa" w:w="32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Demandeur et équipe</w:t>
            </w:r>
          </w:p>
        </w:tc>
        <w:tc>
          <w:tcPr>
            <w:tcW w:type="dxa" w:w="58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tblHeader w:val="false"/>
        </w:trPr>
        <w:tc>
          <w:tcPr>
            <w:tcW w:type="dxa" w:w="32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Usage envisagé</w:t>
            </w:r>
          </w:p>
        </w:tc>
        <w:tc>
          <w:tcPr>
            <w:tcW w:type="dxa" w:w="58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tblHeader w:val="false"/>
        </w:trPr>
        <w:tc>
          <w:tcPr>
            <w:tcW w:type="dxa" w:w="32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Outil et offre</w:t>
            </w:r>
          </w:p>
        </w:tc>
        <w:tc>
          <w:tcPr>
            <w:tcW w:type="dxa" w:w="58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tblHeader w:val="false"/>
        </w:trPr>
        <w:tc>
          <w:tcPr>
            <w:tcW w:type="dxa" w:w="32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Données concernées (couleur la plus élevée)</w:t>
            </w:r>
          </w:p>
        </w:tc>
        <w:tc>
          <w:tcPr>
            <w:tcW w:type="dxa" w:w="58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tblHeader w:val="false"/>
        </w:trPr>
        <w:tc>
          <w:tcPr>
            <w:tcW w:type="dxa" w:w="32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L'usage touche-t-il des clients ? des salariés ou des candidats ?</w:t>
            </w:r>
          </w:p>
        </w:tc>
        <w:tc>
          <w:tcPr>
            <w:tcW w:type="dxa" w:w="58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tblHeader w:val="false"/>
        </w:trPr>
        <w:tc>
          <w:tcPr>
            <w:tcW w:type="dxa" w:w="3200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t xml:space="preserve">Décision du référent, date et conditions</w:t>
            </w:r>
          </w:p>
        </w:tc>
        <w:tc>
          <w:tcPr>
            <w:tcW w:type="dxa" w:w="5826"/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pStyle w:val="Heading1"/>
      </w:pPr>
      <w:r>
        <w:t xml:space="preserve">Annexe 3. Accusé de lecture</w:t>
      </w:r>
    </w:p>
    <w:p>
      <w:pPr>
        <w:spacing w:after="120"/>
      </w:pPr>
      <w:r>
        <w:t xml:space="preserve">Je soussigné(e) </w:t>
      </w:r>
      <w:r>
        <w:rPr>
          <w:color w:val="2447F5"/>
          <w:shd w:fill="E8EDFE" w:color="auto" w:val="clear"/>
        </w:rPr>
        <w:t xml:space="preserve">[Prénom Nom]</w:t>
      </w:r>
      <w:r>
        <w:t xml:space="preserve">, </w:t>
      </w:r>
      <w:r>
        <w:rPr>
          <w:color w:val="2447F5"/>
          <w:shd w:fill="E8EDFE" w:color="auto" w:val="clear"/>
        </w:rPr>
        <w:t xml:space="preserve">[fonction]</w:t>
      </w:r>
      <w:r>
        <w:t xml:space="preserve">, déclare avoir reçu et lu la charte d'utilisation de l'intelligence artificielle de </w:t>
      </w:r>
      <w:r>
        <w:rPr>
          <w:color w:val="2447F5"/>
          <w:shd w:fill="E8EDFE" w:color="auto" w:val="clear"/>
        </w:rPr>
        <w:t xml:space="preserve">[Nom de l'entreprise]</w:t>
      </w:r>
      <w:r>
        <w:t xml:space="preserve">, version </w:t>
      </w:r>
      <w:r>
        <w:rPr>
          <w:color w:val="2447F5"/>
          <w:shd w:fill="E8EDFE" w:color="auto" w:val="clear"/>
        </w:rPr>
        <w:t xml:space="preserve">[1.0]</w:t>
      </w:r>
      <w:r>
        <w:t xml:space="preserve"> du </w:t>
      </w:r>
      <w:r>
        <w:rPr>
          <w:color w:val="2447F5"/>
          <w:shd w:fill="E8EDFE" w:color="auto" w:val="clear"/>
        </w:rPr>
        <w:t xml:space="preserve">[date]</w:t>
      </w:r>
      <w:r>
        <w:t xml:space="preserve">.</w:t>
      </w:r>
    </w:p>
    <w:p>
      <w:pPr>
        <w:spacing w:after="120"/>
      </w:pPr>
      <w:r>
        <w:t xml:space="preserve">Fait à </w:t>
      </w:r>
      <w:r>
        <w:rPr>
          <w:color w:val="2447F5"/>
          <w:shd w:fill="E8EDFE" w:color="auto" w:val="clear"/>
        </w:rPr>
        <w:t xml:space="preserve">[ville]</w:t>
      </w:r>
      <w:r>
        <w:t xml:space="preserve">, le </w:t>
      </w:r>
      <w:r>
        <w:rPr>
          <w:color w:val="2447F5"/>
          <w:shd w:fill="E8EDFE" w:color="auto" w:val="clear"/>
        </w:rPr>
        <w:t xml:space="preserve">[date]</w:t>
      </w:r>
      <w:r>
        <w:t xml:space="preserve">.</w:t>
      </w:r>
    </w:p>
    <w:p>
      <w:pPr>
        <w:spacing w:before="240" w:after="600"/>
      </w:pPr>
      <w:r>
        <w:t xml:space="preserve">Signature :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4A5163"/>
        <w:sz w:val="16"/>
        <w:szCs w:val="16"/>
        <w:shd w:fill="E8EDFE" w:color="auto" w:val="clear"/>
      </w:rPr>
      <w:t xml:space="preserve">[Nom de l'entreprise]</w:t>
    </w:r>
    <w:r>
      <w:rPr>
        <w:color w:val="4A5163"/>
        <w:sz w:val="16"/>
        <w:szCs w:val="16"/>
      </w:rPr>
      <w:t xml:space="preserve"> · Charte d'utilisation de l'IA · version </w:t>
    </w:r>
    <w:r>
      <w:rPr>
        <w:color w:val="4A5163"/>
        <w:sz w:val="16"/>
        <w:szCs w:val="16"/>
        <w:shd w:fill="E8EDFE" w:color="auto" w:val="clear"/>
      </w:rPr>
      <w:t xml:space="preserve">[1.0]</w:t>
    </w:r>
    <w:r>
      <w:rPr>
        <w:sz w:val="16"/>
        <w:szCs w:val="16"/>
      </w:rPr>
      <w:t xml:space="preserve">	</w:t>
    </w:r>
    <w:r>
      <w:rPr>
        <w:color w:val="4A516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61C"/>
        <w:sz w:val="21"/>
        <w:szCs w:val="21"/>
      </w:rPr>
    </w:rPrDefault>
    <w:pPrDefault>
      <w:pPr>
        <w:spacing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4161C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00" w:after="120"/>
      <w:outlineLvl w:val="0"/>
    </w:pPr>
    <w:rPr>
      <w:rFonts w:ascii="Arial" w:cs="Arial" w:eastAsia="Arial" w:hAnsi="Arial"/>
      <w:b/>
      <w:bCs/>
      <w:color w:val="14161C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rFonts w:ascii="Arial" w:cs="Arial" w:eastAsia="Arial" w:hAnsi="Arial"/>
      <w:b/>
      <w:bCs/>
      <w:color w:val="2447F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6458ecc5767729b28799f5333a8469e3816f5582.png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charte d'utilisation de l'IA</dc:title>
  <dc:creator>Grapes</dc:creator>
  <dc:description>Modèle Grapes, édition du 24 octobre 2026</dc:description>
  <cp:lastModifiedBy>Un-named</cp:lastModifiedBy>
  <cp:revision>1</cp:revision>
  <dcterms:created xsi:type="dcterms:W3CDTF">2026-10-24T15:35:32.083Z</dcterms:created>
  <dcterms:modified xsi:type="dcterms:W3CDTF">2026-10-24T15:35:32.084Z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